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90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5"/>
        <w:gridCol w:w="3865"/>
      </w:tblGrid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ООО «</w:t>
            </w:r>
            <w:proofErr w:type="spellStart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Реммонтаж</w:t>
            </w:r>
            <w:proofErr w:type="spellEnd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4023008243 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КПП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402301001 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Местонахождение (адрес)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249440, Калужская область,</w:t>
            </w:r>
          </w:p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г. Киров,  пл. </w:t>
            </w:r>
            <w:proofErr w:type="gramStart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Заводская</w:t>
            </w:r>
            <w:proofErr w:type="gramEnd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д.2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Телефон руководителя организации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(48456) 5-16-35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Телефон ответственного исполнителя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(48456) 5-16-35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Атрибуты решения по принятому тарифу (наименование, дата, номер)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Постановление №304-ЭК</w:t>
            </w:r>
          </w:p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 17.11.2011г.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регулирующего органа, принявшего решение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Министерство конкурентной политики и тарифов Калужской области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Период действия принятого тарифа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01.01.2012 г. - 31.12.2012 г.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Источник опубликования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Газета «Весть»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Тариф на утилизацию (захоронение) твердых бытовых отходов на упрощенной системе налогообложение, руб./м3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104,31 руб.</w:t>
            </w:r>
          </w:p>
        </w:tc>
      </w:tr>
    </w:tbl>
    <w:p w:rsidR="009B29B5" w:rsidRPr="009B29B5" w:rsidRDefault="009B29B5" w:rsidP="009B29B5">
      <w:pPr>
        <w:spacing w:before="180" w:after="180" w:line="240" w:lineRule="auto"/>
        <w:jc w:val="center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tbl>
      <w:tblPr>
        <w:tblW w:w="10290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5"/>
        <w:gridCol w:w="3865"/>
      </w:tblGrid>
      <w:tr w:rsidR="009B29B5" w:rsidRPr="009B29B5" w:rsidTr="009B29B5">
        <w:trPr>
          <w:trHeight w:val="533"/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КПП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Местонахождение (адрес)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Телефон руководителя организации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Телефон ответственного исполнителя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Атрибуты решения по принятой надбавке к тарифу для потребителей (наименование, дата, номер)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регулирующего органа, принявшего решение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Период действия принятой надбавки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утверждалась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Источник опубликования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62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Надбавка к тарифу на утилизацию (захоронение) твердых бытовых отходов для потребителей, руб./м3</w:t>
            </w:r>
          </w:p>
        </w:tc>
        <w:tc>
          <w:tcPr>
            <w:tcW w:w="378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1. информация раскрывается регулируемой организацией не позднее 30 дней со дня принятия соответствующего решения об установлении;</w:t>
      </w:r>
    </w:p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 xml:space="preserve">2. одновременно с указанной информацией раскрываются сведения, указанные в пунктах </w:t>
      </w:r>
      <w:proofErr w:type="gramStart"/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а-д</w:t>
      </w:r>
      <w:proofErr w:type="gramEnd"/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, з, и раздела 2 и пунктах б-д раздела 3 настоящей формы, учтенные органом исполнительной власти субъекта Российской Федерации (органом местного самоуправления) при установлении тарифов и надбавок к тарифам на очередной период регулирования;</w:t>
      </w:r>
    </w:p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3. не позднее 25 дней со дня принятия соответствующего решения об установлении тарифа/надбавки на очередной период регулирования, для публикации на сайте в сети Интернет, в министерство конкурентной политики и тарифов Калужской области в электронном виде представляется вся подлежащая раскрытию информация.</w:t>
      </w:r>
    </w:p>
    <w:p w:rsidR="003C410C" w:rsidRDefault="003C410C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tbl>
      <w:tblPr>
        <w:tblW w:w="9510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8"/>
        <w:gridCol w:w="2452"/>
      </w:tblGrid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Наименование организации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      ООО    «</w:t>
            </w:r>
            <w:proofErr w:type="spellStart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Реммонтаж</w:t>
            </w:r>
            <w:proofErr w:type="spellEnd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4023008243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КПП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402301001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Местонахождение (адрес)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proofErr w:type="gramStart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Калужская</w:t>
            </w:r>
            <w:proofErr w:type="gramEnd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обл.,      г. Киров,</w:t>
            </w:r>
          </w:p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пл. Заводская, д. 2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Отчетный период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2012 год - план</w:t>
            </w:r>
          </w:p>
        </w:tc>
      </w:tr>
    </w:tbl>
    <w:p w:rsidR="009B29B5" w:rsidRPr="009B29B5" w:rsidRDefault="009B29B5" w:rsidP="009B29B5">
      <w:pPr>
        <w:spacing w:before="180" w:after="180" w:line="240" w:lineRule="auto"/>
        <w:jc w:val="center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tbl>
      <w:tblPr>
        <w:tblW w:w="9510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0"/>
        <w:gridCol w:w="2320"/>
      </w:tblGrid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а) Вид деятельности организации (утилизация твердых бытовых отходов, захоронение твердых бытовых отходов)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Захоронение ТБО</w:t>
            </w:r>
          </w:p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б) Выручка (тыс. рублей)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6467,50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в) Себестоимость производимых товаров (оказываемых услуг)  (тыс. рублей)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6212,50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оплату труда и отчисления на социальные нужды основного производственного персонала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1956,35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амортизацию основных производственных средств и аренду имущества, используемого в технологическом процессе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22,90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общепроизводственные (цеховые) расходы, в том числе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903,10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оплату труда и отчисления на социальные нужды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595,00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общехозяйственные (управленческие) расходы, в том числе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1580,70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оплату труда и отчисления на социальные нужды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931,70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ремонт (капитальный и текущий) основных производственных средств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204,50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</w:t>
            </w:r>
            <w:r w:rsidRPr="009B29B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3-4</w:t>
            </w:r>
            <w:proofErr w:type="gramEnd"/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    расходы на топливо и </w:t>
            </w:r>
            <w:proofErr w:type="spellStart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гсм</w:t>
            </w:r>
            <w:proofErr w:type="spellEnd"/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775,00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   расходы на материалы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769,95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г) Валовая прибыль    (тыс. рублей)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255,00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д) </w:t>
            </w:r>
            <w:proofErr w:type="gramStart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Чистая</w:t>
            </w:r>
            <w:proofErr w:type="gramEnd"/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прибыли по регулируемому виду деятельности  (тыс. рублей), в том числе: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 расходования чистой прибыли на финансирование мероприятий, предусмотренных инвестиционной программой регулируемой организации по развитию системы (объектов) утилизации твердых бытовых отходов (тыс. рублей)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е) Изменение стоимости основных фондов (тыс. рублей), в том числе: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 счет ввода (вывода) их из эксплуатации (тыс. рублей)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ж) Сведения об источнике публикации годовой бухгалтерской отчетности, включая бухгалтерский баланс и приложения к нему</w:t>
            </w:r>
            <w:r w:rsidRPr="009B29B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5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з) Объем принятых на утилизацию (захоронению) твердых бытовых отходов (тыс. м3 в год)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</w:t>
            </w:r>
          </w:p>
        </w:tc>
      </w:tr>
      <w:tr w:rsidR="009B29B5" w:rsidRPr="009B29B5" w:rsidTr="009B29B5">
        <w:trPr>
          <w:jc w:val="center"/>
        </w:trPr>
        <w:tc>
          <w:tcPr>
            <w:tcW w:w="702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и) Среднесписочная численность основного производственного персонала (человек)</w:t>
            </w:r>
          </w:p>
        </w:tc>
        <w:tc>
          <w:tcPr>
            <w:tcW w:w="226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</w:tr>
    </w:tbl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1. все показатели отражается в части регулируемой деятельности (водоотведение, очистка сточных вод, транспортирование стоков, обработка осадка, утилизация осадка сточных вод);</w:t>
      </w:r>
    </w:p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2. информация раскрывается регулируемой организацией не позднее 30 дней со дня сдачи годового бухгалтерского баланса в налоговые органы  и должна соответствовать годовой бухгалтерской отчетности за отчетный год;</w:t>
      </w:r>
    </w:p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proofErr w:type="gramStart"/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3. одновременно с информацией о расходах на ремонт (капитальный и текущий) основных производственных средств и расходах на услуги производственного характера, выполняемые по договорам с организациями на проведение регламентных работ в рамках технологического процесса, на сайте в сети Интернет публикуется информация об объемах товаров и услуг, их стоимости и способах приобретения у тех организаций, сумма оплаты услуг которых превышает 20% суммы</w:t>
      </w:r>
      <w:proofErr w:type="gramEnd"/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 xml:space="preserve"> расходов по каждой из указанных статей расходов. </w:t>
      </w:r>
      <w:proofErr w:type="gramStart"/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При этом указывается информация о поставке товаров и услуг, стоимость которых превышает 20% суммы поставки товаров и услуг каждой из этих организаций;</w:t>
      </w:r>
      <w:proofErr w:type="gramEnd"/>
    </w:p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4. не позднее 25 дней со дня сдачи годового бухгалтерского баланса в налоговые органы, для публикации на сайте в сети Интернет, в министерство конкурентной политики и тарифов Калужской области в электронном виде представляется вся подлежащая раскрытию информация;</w:t>
      </w:r>
    </w:p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i/>
          <w:iCs/>
          <w:color w:val="0D1216"/>
          <w:sz w:val="20"/>
          <w:szCs w:val="20"/>
          <w:lang w:eastAsia="ru-RU"/>
        </w:rPr>
        <w:t>5. раскрывается регулируемыми организациями, выручка от регулируемой деятельности которых превышает 80% совокупной выручки за отчетный год.</w:t>
      </w:r>
    </w:p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tbl>
      <w:tblPr>
        <w:tblW w:w="9938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4"/>
        <w:gridCol w:w="5954"/>
      </w:tblGrid>
      <w:tr w:rsidR="009B29B5" w:rsidRPr="009B29B5" w:rsidTr="009B29B5">
        <w:trPr>
          <w:jc w:val="center"/>
        </w:trPr>
        <w:tc>
          <w:tcPr>
            <w:tcW w:w="398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lastRenderedPageBreak/>
              <w:t>Наименование организации                </w:t>
            </w:r>
          </w:p>
        </w:tc>
        <w:tc>
          <w:tcPr>
            <w:tcW w:w="595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ООО «</w:t>
            </w:r>
            <w:proofErr w:type="spell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Реммонтаж</w:t>
            </w:r>
            <w:proofErr w:type="spell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»</w:t>
            </w:r>
          </w:p>
        </w:tc>
      </w:tr>
      <w:tr w:rsidR="009B29B5" w:rsidRPr="009B29B5" w:rsidTr="009B29B5">
        <w:trPr>
          <w:jc w:val="center"/>
        </w:trPr>
        <w:tc>
          <w:tcPr>
            <w:tcW w:w="398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ИНН                                     </w:t>
            </w:r>
          </w:p>
        </w:tc>
        <w:tc>
          <w:tcPr>
            <w:tcW w:w="595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4023008243</w:t>
            </w:r>
          </w:p>
        </w:tc>
      </w:tr>
      <w:tr w:rsidR="009B29B5" w:rsidRPr="009B29B5" w:rsidTr="009B29B5">
        <w:trPr>
          <w:jc w:val="center"/>
        </w:trPr>
        <w:tc>
          <w:tcPr>
            <w:tcW w:w="398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КПП                                     </w:t>
            </w:r>
          </w:p>
        </w:tc>
        <w:tc>
          <w:tcPr>
            <w:tcW w:w="595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402301001</w:t>
            </w:r>
          </w:p>
        </w:tc>
      </w:tr>
      <w:tr w:rsidR="009B29B5" w:rsidRPr="009B29B5" w:rsidTr="009B29B5">
        <w:trPr>
          <w:jc w:val="center"/>
        </w:trPr>
        <w:tc>
          <w:tcPr>
            <w:tcW w:w="398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Местонахождение (адрес)                 </w:t>
            </w:r>
          </w:p>
        </w:tc>
        <w:tc>
          <w:tcPr>
            <w:tcW w:w="595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249440, Калужская область,</w:t>
            </w:r>
          </w:p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 xml:space="preserve">г. Киров,  пл. 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Заводская</w:t>
            </w:r>
            <w:proofErr w:type="gram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, д.2 </w:t>
            </w:r>
          </w:p>
        </w:tc>
      </w:tr>
    </w:tbl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p w:rsidR="009B29B5" w:rsidRPr="009B29B5" w:rsidRDefault="009B29B5" w:rsidP="009B29B5">
      <w:pPr>
        <w:spacing w:before="180" w:after="180" w:line="240" w:lineRule="auto"/>
        <w:jc w:val="center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b/>
          <w:bCs/>
          <w:color w:val="0D1216"/>
          <w:sz w:val="20"/>
          <w:szCs w:val="20"/>
          <w:lang w:eastAsia="ru-RU"/>
        </w:rPr>
        <w:t>Форма 5.3. Информация об инвестиционных программах</w:t>
      </w:r>
    </w:p>
    <w:p w:rsidR="009B29B5" w:rsidRPr="009B29B5" w:rsidRDefault="009B29B5" w:rsidP="009B29B5">
      <w:pPr>
        <w:spacing w:before="180" w:after="180" w:line="240" w:lineRule="auto"/>
        <w:jc w:val="center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b/>
          <w:bCs/>
          <w:color w:val="0D1216"/>
          <w:sz w:val="20"/>
          <w:szCs w:val="20"/>
          <w:lang w:eastAsia="ru-RU"/>
        </w:rPr>
        <w:t xml:space="preserve">и </w:t>
      </w:r>
      <w:proofErr w:type="gramStart"/>
      <w:r w:rsidRPr="009B29B5">
        <w:rPr>
          <w:rFonts w:ascii="Arial" w:eastAsia="Times New Roman" w:hAnsi="Arial" w:cs="Arial"/>
          <w:b/>
          <w:bCs/>
          <w:color w:val="0D1216"/>
          <w:sz w:val="20"/>
          <w:szCs w:val="20"/>
          <w:lang w:eastAsia="ru-RU"/>
        </w:rPr>
        <w:t>отчетах</w:t>
      </w:r>
      <w:proofErr w:type="gramEnd"/>
      <w:r w:rsidRPr="009B29B5">
        <w:rPr>
          <w:rFonts w:ascii="Arial" w:eastAsia="Times New Roman" w:hAnsi="Arial" w:cs="Arial"/>
          <w:b/>
          <w:bCs/>
          <w:color w:val="0D1216"/>
          <w:sz w:val="20"/>
          <w:szCs w:val="20"/>
          <w:lang w:eastAsia="ru-RU"/>
        </w:rPr>
        <w:t xml:space="preserve"> об их реализаци</w:t>
      </w: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и</w:t>
      </w:r>
    </w:p>
    <w:p w:rsidR="009B29B5" w:rsidRPr="009B29B5" w:rsidRDefault="009B29B5" w:rsidP="009B29B5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tbl>
      <w:tblPr>
        <w:tblW w:w="10731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6"/>
        <w:gridCol w:w="7455"/>
      </w:tblGrid>
      <w:tr w:rsidR="009B29B5" w:rsidRPr="009B29B5" w:rsidTr="00656B08">
        <w:trPr>
          <w:jc w:val="center"/>
        </w:trPr>
        <w:tc>
          <w:tcPr>
            <w:tcW w:w="3276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а) наименование инвестиционной программы</w:t>
            </w:r>
          </w:p>
        </w:tc>
        <w:tc>
          <w:tcPr>
            <w:tcW w:w="745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Не утверждалась</w:t>
            </w:r>
          </w:p>
        </w:tc>
      </w:tr>
      <w:tr w:rsidR="009B29B5" w:rsidRPr="009B29B5" w:rsidTr="00656B08">
        <w:trPr>
          <w:jc w:val="center"/>
        </w:trPr>
        <w:tc>
          <w:tcPr>
            <w:tcW w:w="3276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б) цель инвестиционной программы        </w:t>
            </w:r>
          </w:p>
        </w:tc>
        <w:tc>
          <w:tcPr>
            <w:tcW w:w="745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3276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в) сроки начала и окончания реализации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инвестиционной программы                </w:t>
            </w:r>
          </w:p>
        </w:tc>
        <w:tc>
          <w:tcPr>
            <w:tcW w:w="745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</w:tbl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г) потребности в финансовых средствах, необходимых для реализации инвестиционной программы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tbl>
      <w:tblPr>
        <w:tblW w:w="9272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4"/>
        <w:gridCol w:w="1560"/>
        <w:gridCol w:w="3728"/>
      </w:tblGrid>
      <w:tr w:rsidR="009B29B5" w:rsidRPr="009B29B5" w:rsidTr="00656B08">
        <w:trPr>
          <w:jc w:val="center"/>
        </w:trPr>
        <w:tc>
          <w:tcPr>
            <w:tcW w:w="398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Наименование мероприятия &lt;4&gt;   </w:t>
            </w:r>
          </w:p>
        </w:tc>
        <w:tc>
          <w:tcPr>
            <w:tcW w:w="156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Потребность в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финансовых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средствах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на 2012 год,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тыс. руб.    </w:t>
            </w:r>
          </w:p>
        </w:tc>
        <w:tc>
          <w:tcPr>
            <w:tcW w:w="3728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Источник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финансирования</w:t>
            </w:r>
          </w:p>
        </w:tc>
      </w:tr>
      <w:tr w:rsidR="009B29B5" w:rsidRPr="009B29B5" w:rsidTr="00656B08">
        <w:trPr>
          <w:jc w:val="center"/>
        </w:trPr>
        <w:tc>
          <w:tcPr>
            <w:tcW w:w="398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Всего, в том числе                   </w:t>
            </w:r>
          </w:p>
        </w:tc>
        <w:tc>
          <w:tcPr>
            <w:tcW w:w="156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8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398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1.                                   </w:t>
            </w:r>
          </w:p>
        </w:tc>
        <w:tc>
          <w:tcPr>
            <w:tcW w:w="156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8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398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2.                                   </w:t>
            </w:r>
          </w:p>
        </w:tc>
        <w:tc>
          <w:tcPr>
            <w:tcW w:w="156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8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3984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и т.д.                               </w:t>
            </w:r>
          </w:p>
        </w:tc>
        <w:tc>
          <w:tcPr>
            <w:tcW w:w="156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8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656B08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</w:tbl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--------------------------------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&lt;1&gt; - в официальных печатных изданиях сведения, указанные в пунктах г-е, публикуются в отношении мероприятий инвестиционной программы, доля расходов на реализацию каждого из которых превышает 5% суммы финансирования инвестиционной программы за отчетный год;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lastRenderedPageBreak/>
        <w:t>&lt;2&gt; - информация раскрывается регулируемой организацией не позднее 30 дней со дня сдачи годового бухгалтерского баланса в налоговые органы и должна соответствовать годовой бухгалтерской отчетности за отчетный год;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&lt;3&gt; - не позднее 25 дней со дня сдачи годового бухгалтерского баланса в налоговые органы для публикации на сайте в сети Интернет в министерство конкурентной политики и тарифов Калужской области в электронном виде предоставляется вся подлежащая раскрытию информация;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&lt;4&gt; - заполняется организацией в соответствии с инвестиционной программой.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tbl>
      <w:tblPr>
        <w:tblW w:w="11014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9"/>
        <w:gridCol w:w="7455"/>
      </w:tblGrid>
      <w:tr w:rsidR="009B29B5" w:rsidRPr="009B29B5" w:rsidTr="00656B08">
        <w:trPr>
          <w:jc w:val="center"/>
        </w:trPr>
        <w:tc>
          <w:tcPr>
            <w:tcW w:w="355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Наименование организации                </w:t>
            </w:r>
          </w:p>
        </w:tc>
        <w:tc>
          <w:tcPr>
            <w:tcW w:w="745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ООО «</w:t>
            </w:r>
            <w:proofErr w:type="spell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Реммонтаж</w:t>
            </w:r>
            <w:proofErr w:type="spell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»</w:t>
            </w:r>
          </w:p>
        </w:tc>
      </w:tr>
      <w:tr w:rsidR="009B29B5" w:rsidRPr="009B29B5" w:rsidTr="00656B08">
        <w:trPr>
          <w:jc w:val="center"/>
        </w:trPr>
        <w:tc>
          <w:tcPr>
            <w:tcW w:w="355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ИНН                                     </w:t>
            </w:r>
          </w:p>
        </w:tc>
        <w:tc>
          <w:tcPr>
            <w:tcW w:w="745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4023008243</w:t>
            </w:r>
          </w:p>
        </w:tc>
      </w:tr>
      <w:tr w:rsidR="009B29B5" w:rsidRPr="009B29B5" w:rsidTr="00656B08">
        <w:trPr>
          <w:jc w:val="center"/>
        </w:trPr>
        <w:tc>
          <w:tcPr>
            <w:tcW w:w="355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КПП                                     </w:t>
            </w:r>
          </w:p>
        </w:tc>
        <w:tc>
          <w:tcPr>
            <w:tcW w:w="745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402301001</w:t>
            </w:r>
          </w:p>
        </w:tc>
      </w:tr>
      <w:tr w:rsidR="009B29B5" w:rsidRPr="009B29B5" w:rsidTr="00656B08">
        <w:trPr>
          <w:jc w:val="center"/>
        </w:trPr>
        <w:tc>
          <w:tcPr>
            <w:tcW w:w="355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Местонахождение (адрес)                 </w:t>
            </w:r>
          </w:p>
        </w:tc>
        <w:tc>
          <w:tcPr>
            <w:tcW w:w="745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249440, Калужская область,</w:t>
            </w:r>
          </w:p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 xml:space="preserve">г. Киров,  пл. 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Заводская</w:t>
            </w:r>
            <w:proofErr w:type="gram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, д.2 </w:t>
            </w:r>
          </w:p>
        </w:tc>
      </w:tr>
    </w:tbl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д) показатели эффективности реализации инвестиционной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программы &lt;1&gt;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tbl>
      <w:tblPr>
        <w:tblW w:w="10882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1417"/>
        <w:gridCol w:w="1985"/>
        <w:gridCol w:w="3070"/>
      </w:tblGrid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Наименование показателей &lt;2&gt;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Значения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показателей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на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предыдущий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отчетный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период 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Значения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показателей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на текущий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отчетный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период 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Ожидаемые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значения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после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реализации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мероприятия</w:t>
            </w:r>
          </w:p>
        </w:tc>
      </w:tr>
      <w:tr w:rsidR="009B29B5" w:rsidRPr="009B29B5" w:rsidTr="00656B08">
        <w:trPr>
          <w:jc w:val="center"/>
        </w:trPr>
        <w:tc>
          <w:tcPr>
            <w:tcW w:w="10882" w:type="dxa"/>
            <w:gridSpan w:val="4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Наименование мероприятия &lt;3&gt;                     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Срок окупаемости, лет        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Продолжительность (бесперебойность)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поставки товаров и услуг (час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.</w:t>
            </w:r>
            <w:proofErr w:type="gram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/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д</w:t>
            </w:r>
            <w:proofErr w:type="gram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ень)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Коэффициент защищенности объектов от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пожаров (час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.</w:t>
            </w:r>
            <w:proofErr w:type="gram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/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д</w:t>
            </w:r>
            <w:proofErr w:type="gram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ень)          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Суммарная продолжительность пожаров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на объектах для утилизации      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(захоронения) ТБО (часов)    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 xml:space="preserve">Коэффициент </w:t>
            </w:r>
            <w:proofErr w:type="spell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пожароустойчивости</w:t>
            </w:r>
            <w:proofErr w:type="spell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 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объектов от пожаров (ед.)    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Суммарная площадь объектов,     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подверженных пожарам (кв. м) 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lastRenderedPageBreak/>
              <w:t>Площадь объектов для утилизации 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(захоронения) ТБО (кв. м)    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Наличие контроля качества товаров и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услуг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 xml:space="preserve"> (%)                            </w:t>
            </w:r>
            <w:proofErr w:type="gramEnd"/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Соответствие качества товаров и услуг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установленным требованиям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 xml:space="preserve"> (%)       </w:t>
            </w:r>
            <w:proofErr w:type="gramEnd"/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Количество анализов проб атмосферного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воздуха, соответствующее предельно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допустимым концентрациям (ед.)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Удельное потребление (куб. м/чел.)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 xml:space="preserve">Объем от населения 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утилизированных</w:t>
            </w:r>
            <w:proofErr w:type="gram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(захороненных) ТБО (тыс. куб. м)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Расход электроэнергии на утилизацию 1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 xml:space="preserve">куб. м ТБО, </w:t>
            </w:r>
            <w:proofErr w:type="spell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кВт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.ч</w:t>
            </w:r>
            <w:proofErr w:type="spellEnd"/>
            <w:proofErr w:type="gram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/куб. м     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Расход топлива на утилизацию    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(захоронение) 1 куб. м ТБО,     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</w:r>
            <w:proofErr w:type="spell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кВт</w:t>
            </w:r>
            <w:proofErr w:type="gramStart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.ч</w:t>
            </w:r>
            <w:proofErr w:type="spellEnd"/>
            <w:proofErr w:type="gramEnd"/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/куб. м                  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Производительность труда на 1     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человека, тыс. руб./чел.     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  <w:tr w:rsidR="009B29B5" w:rsidRPr="009B29B5" w:rsidTr="00656B08">
        <w:trPr>
          <w:jc w:val="center"/>
        </w:trPr>
        <w:tc>
          <w:tcPr>
            <w:tcW w:w="441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Другие показатели, предусмотренные   </w:t>
            </w: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br/>
              <w:t>инвестиционной программой           </w:t>
            </w:r>
          </w:p>
        </w:tc>
        <w:tc>
          <w:tcPr>
            <w:tcW w:w="141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B29B5" w:rsidRPr="009B29B5" w:rsidRDefault="009B29B5" w:rsidP="009B29B5">
            <w:pPr>
              <w:spacing w:before="180" w:after="180" w:line="240" w:lineRule="auto"/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</w:pPr>
            <w:r w:rsidRPr="009B29B5">
              <w:rPr>
                <w:rFonts w:ascii="Arial" w:eastAsia="Times New Roman" w:hAnsi="Arial" w:cs="Arial"/>
                <w:color w:val="0D1216"/>
                <w:sz w:val="20"/>
                <w:szCs w:val="20"/>
                <w:lang w:eastAsia="ru-RU"/>
              </w:rPr>
              <w:t> </w:t>
            </w:r>
          </w:p>
        </w:tc>
      </w:tr>
    </w:tbl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 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--------------------------------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&lt;1&gt; - перечень показателей приведен с учетом приложения N 5 к Методике проведения мониторинга выполнения производственных и инвестиционных программ, утвержденной приказом Министерства регионального развития РФ от 14.04.2008 N 48;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&lt;2&gt; - данный перечень показателей не является исчерпывающим и может быть дополнен показателями, определенными в инвестиционной программе организации коммунального комплекса;</w:t>
      </w:r>
    </w:p>
    <w:p w:rsidR="009B29B5" w:rsidRPr="009B29B5" w:rsidRDefault="009B29B5" w:rsidP="00656B08">
      <w:pPr>
        <w:spacing w:before="180" w:after="180" w:line="240" w:lineRule="auto"/>
        <w:jc w:val="both"/>
        <w:rPr>
          <w:rFonts w:ascii="Arial" w:eastAsia="Times New Roman" w:hAnsi="Arial" w:cs="Arial"/>
          <w:color w:val="0D1216"/>
          <w:sz w:val="20"/>
          <w:szCs w:val="20"/>
          <w:lang w:eastAsia="ru-RU"/>
        </w:rPr>
      </w:pPr>
      <w:r w:rsidRPr="009B29B5">
        <w:rPr>
          <w:rFonts w:ascii="Arial" w:eastAsia="Times New Roman" w:hAnsi="Arial" w:cs="Arial"/>
          <w:color w:val="0D1216"/>
          <w:sz w:val="20"/>
          <w:szCs w:val="20"/>
          <w:lang w:eastAsia="ru-RU"/>
        </w:rPr>
        <w:t>&lt;3&gt; - показатели заполняются в разбивке по мероприятиям, наименование мероприятий и их перечень вводятся организацией в соответствии с инвестиционной программой.</w:t>
      </w:r>
    </w:p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656B08" w:rsidRDefault="00656B08" w:rsidP="00656B0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07610" cy="9652059"/>
            <wp:effectExtent l="0" t="0" r="0" b="6350"/>
            <wp:docPr id="1" name="Рисунок 1" descr="http://remmontaz.ru/images/form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mmontaz.ru/images/form5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55" cy="96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08" w:rsidRPr="00656B08" w:rsidRDefault="00656B08" w:rsidP="00656B0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656B08" w:rsidRPr="00656B08" w:rsidRDefault="00656B08" w:rsidP="00656B08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56B08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lastRenderedPageBreak/>
        <w:t>1 - информация раскрывается регулируемой организацией не позднее 30 дней со дня принятия соответствующего решения об установлении тарифа/надбавки на очередной период регулирования;</w:t>
      </w:r>
    </w:p>
    <w:p w:rsidR="00656B08" w:rsidRPr="00656B08" w:rsidRDefault="00656B08" w:rsidP="00656B08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56B08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2 - не позднее 25 дней со дня принятия соответствующего решения об установлении тарифа/надбавки на очередной период регулирования, для публикации на сайте в сети Интернет, в министерство конкурентной политики и тарифов Калужской области в электронном виде представляется вся подлежащая раскрытию информация.</w:t>
      </w:r>
    </w:p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Default="009B29B5" w:rsidP="009B29B5"/>
    <w:p w:rsidR="009B29B5" w:rsidRPr="009B29B5" w:rsidRDefault="009B29B5" w:rsidP="009B29B5"/>
    <w:sectPr w:rsidR="009B29B5" w:rsidRPr="009B29B5" w:rsidSect="003C410C">
      <w:pgSz w:w="11906" w:h="16838"/>
      <w:pgMar w:top="426" w:right="56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174"/>
    <w:rsid w:val="000B6456"/>
    <w:rsid w:val="00260AB6"/>
    <w:rsid w:val="00310174"/>
    <w:rsid w:val="0031543E"/>
    <w:rsid w:val="003C410C"/>
    <w:rsid w:val="00656B08"/>
    <w:rsid w:val="009B29B5"/>
    <w:rsid w:val="00AF58D3"/>
    <w:rsid w:val="00B2620F"/>
    <w:rsid w:val="00EB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0A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0A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dateicon">
    <w:name w:val="art-postdateicon"/>
    <w:basedOn w:val="a0"/>
    <w:rsid w:val="00260AB6"/>
  </w:style>
  <w:style w:type="character" w:customStyle="1" w:styleId="apple-converted-space">
    <w:name w:val="apple-converted-space"/>
    <w:basedOn w:val="a0"/>
    <w:rsid w:val="00260AB6"/>
  </w:style>
  <w:style w:type="character" w:styleId="a3">
    <w:name w:val="Hyperlink"/>
    <w:basedOn w:val="a0"/>
    <w:uiPriority w:val="99"/>
    <w:semiHidden/>
    <w:unhideWhenUsed/>
    <w:rsid w:val="00260AB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6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AB6"/>
    <w:rPr>
      <w:rFonts w:ascii="Tahoma" w:hAnsi="Tahoma" w:cs="Tahoma"/>
      <w:sz w:val="16"/>
      <w:szCs w:val="16"/>
    </w:rPr>
  </w:style>
  <w:style w:type="character" w:customStyle="1" w:styleId="art-postauthoricon">
    <w:name w:val="art-postauthoricon"/>
    <w:basedOn w:val="a0"/>
    <w:rsid w:val="0031543E"/>
  </w:style>
  <w:style w:type="character" w:styleId="a7">
    <w:name w:val="Strong"/>
    <w:basedOn w:val="a0"/>
    <w:uiPriority w:val="22"/>
    <w:qFormat/>
    <w:rsid w:val="009B29B5"/>
    <w:rPr>
      <w:b/>
      <w:bCs/>
    </w:rPr>
  </w:style>
  <w:style w:type="character" w:styleId="a8">
    <w:name w:val="Emphasis"/>
    <w:basedOn w:val="a0"/>
    <w:uiPriority w:val="20"/>
    <w:qFormat/>
    <w:rsid w:val="009B29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0A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0A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dateicon">
    <w:name w:val="art-postdateicon"/>
    <w:basedOn w:val="a0"/>
    <w:rsid w:val="00260AB6"/>
  </w:style>
  <w:style w:type="character" w:customStyle="1" w:styleId="apple-converted-space">
    <w:name w:val="apple-converted-space"/>
    <w:basedOn w:val="a0"/>
    <w:rsid w:val="00260AB6"/>
  </w:style>
  <w:style w:type="character" w:styleId="a3">
    <w:name w:val="Hyperlink"/>
    <w:basedOn w:val="a0"/>
    <w:uiPriority w:val="99"/>
    <w:semiHidden/>
    <w:unhideWhenUsed/>
    <w:rsid w:val="00260AB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6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AB6"/>
    <w:rPr>
      <w:rFonts w:ascii="Tahoma" w:hAnsi="Tahoma" w:cs="Tahoma"/>
      <w:sz w:val="16"/>
      <w:szCs w:val="16"/>
    </w:rPr>
  </w:style>
  <w:style w:type="character" w:customStyle="1" w:styleId="art-postauthoricon">
    <w:name w:val="art-postauthoricon"/>
    <w:basedOn w:val="a0"/>
    <w:rsid w:val="0031543E"/>
  </w:style>
  <w:style w:type="character" w:styleId="a7">
    <w:name w:val="Strong"/>
    <w:basedOn w:val="a0"/>
    <w:uiPriority w:val="22"/>
    <w:qFormat/>
    <w:rsid w:val="009B29B5"/>
    <w:rPr>
      <w:b/>
      <w:bCs/>
    </w:rPr>
  </w:style>
  <w:style w:type="character" w:styleId="a8">
    <w:name w:val="Emphasis"/>
    <w:basedOn w:val="a0"/>
    <w:uiPriority w:val="20"/>
    <w:qFormat/>
    <w:rsid w:val="009B29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6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0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8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2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0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5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3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7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9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2015-07-07T07:35:00Z</dcterms:created>
  <dcterms:modified xsi:type="dcterms:W3CDTF">2015-07-07T12:43:00Z</dcterms:modified>
</cp:coreProperties>
</file>